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D1" w:rsidRDefault="003840D1" w:rsidP="003840D1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პირველი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საქართველოში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კანონმდებლობამ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სრულად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მოაღწია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ჩვენამდე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სახით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მოწვეული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ინიციატივითა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ბრძანებით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მოსწრაფებით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შემოკრებაჲ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უბრძანე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“) 1105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ეპარქიების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მომიჯნავე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ტერიტორიაზე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მახლობლად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საეპისკოპოსთა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–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ურბნისისა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ამიტომ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იგი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ცნობილია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სახელით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ამ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მიერ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დადგენილი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სახელმწიფოებრივი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ფართომასშტაბიანი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რეფორმების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საფუძველი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უნდა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დაედო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მარტო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ეკლესიის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სრულყოფილად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ორგანიზაციისათვის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არამედ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ეთიკურ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მორალური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აღორძინებისათვის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სახელმწიფოს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პოლიტიკური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ძლიერების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საწინდარი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იქნებოდა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.</w:t>
      </w:r>
    </w:p>
    <w:p w:rsidR="003840D1" w:rsidRDefault="003840D1" w:rsidP="003840D1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რიგითი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ადგილობრივი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საგანგებო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განსაკუთრებული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ყრილობა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ყოფილა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ჯავახიშვილი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შრომები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VI,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თბილისი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1982,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54),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ამიტომ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საორგანიზაციო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საითხებში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მრავალ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დეტალში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ემსგავსება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მსოფლიო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თბილისი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1978,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20-28),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ისტორიკოსის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შეფასებაშიც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შუენიერი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ჭეშმარიტისა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სარწმუნოებისა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აღწერეს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მიმდგომი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მოწამე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წმიდათა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ათორმეტთა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ქართლის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ცხოვრება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I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თბილისი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1955,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>. 328).</w:t>
      </w:r>
    </w:p>
    <w:p w:rsidR="003840D1" w:rsidRDefault="003840D1" w:rsidP="003840D1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ავტორის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საკითხის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დასმა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უხერხულიც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რადგან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ნებისმიერი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მიერ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მსოფლიო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იქნება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ადგილობრივი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შემუშავებული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კანონმდებლობა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კოლექტიური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დამსწრე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მამების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განსჯის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შედეგია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შეიძლება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კონკრეტული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ავტორი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ჰყავდეს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უძებნია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მაგალითად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ნიკეის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I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მსოფლიო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დადგენილი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20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ავტორი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მაგრამ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ჩვენს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შემთხვევაში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გვაქვს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არასტანდარტული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ვითარება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კანონიკური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აერთიანებს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ოთხ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: 1.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საკმაოდ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ვრცელი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შესავალი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წარმოადგენს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ერთგვარ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ტრაქტატს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თეოლოგიურ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ფილოსოფიური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თვალით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დანახული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სამყაროს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ადამიანისა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ქრისტიანული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სარწმუნოების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წარმოშობისა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განვითარების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მოკლე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ისტორიის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2.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კანონთა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3.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ქებას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შესხმას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ცალკე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გამოყოფილი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სათაურით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მეფესა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4.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სინოდიკონს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მოსახსენებლებს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მრავალჟამიერი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ცოცხალ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დამსწრე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სამეფო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ოჯახის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წევრთა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სასულიერო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იერარქიის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წარმომადგენლებისა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საუკუნო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ჴსენება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გარდაცვლილთა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ვხედავთ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შესავალი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შესხმა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ინდივიდუალური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შემოქმედების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ნაყოფია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ხოლო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სინოდიკონი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–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კოლექტიური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სჯა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ბაასისა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მაგრამ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აზრობრივ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ფრაზეოლოგიური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ფორმულირება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შესავლისა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შესხმის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ავტორსავე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უნდა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ეკუთვნოდეს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ხოლო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ვინ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შესხმის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სათაურში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–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კონკრეტულად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იგულისხმება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აქ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დღემდე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საკამათო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გახდა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–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იყალთოელი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ვაჩესძე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ბერი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კალიპოსელი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ჩვენი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აზრით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სჯულიერი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მოღვაწე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კალიპოსელი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როგორც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თავისი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ხელით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ჩაწერა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სინოდიკონში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იგივე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არსენ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იყალთოელი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lastRenderedPageBreak/>
        <w:t>ცოტა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ხნის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წინ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სირიაში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ანტიოქიის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მახლობლად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მდებარე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შავი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მთის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ქართული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მონასტრის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კალიპოსის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წევრი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რომელმაც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თარგმნა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დიდი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სჯულისკანონი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–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დებულებათა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წყარო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დაწვრილებით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იხ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თბილისი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1978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>. 29-72).</w:t>
      </w:r>
    </w:p>
    <w:p w:rsidR="003840D1" w:rsidRDefault="003840D1" w:rsidP="003840D1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„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შემადგენელი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ერთმანეთთან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ლოგიკურად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დაკავშირებული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ერთიდან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მეორეზე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გადასვლა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ორიგინალური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ოსტატურია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თხზულების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შესავალში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მოთხრობილი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ძველი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ახალი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აღთქმის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წიგნების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მოკლე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შინაარსი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ქრისტიანობის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დამკვიდრების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ისტორია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ბიზანტიასა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საქართველოში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მიერ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შემუშავებული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კოდექსის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შინაარსის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სრული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ჩამონათვალი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მოწვევის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მიზეზებისა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მიზნების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წარმოჩენა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ემსახურება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წარმოდგენილი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იურიდიულ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საფუძვლების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ჩვენებას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ნათელყოფას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იურიდიული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ნორმები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აუცილებელია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საზოგადოების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გასაჯანსაღებლად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თხზულების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შესავალში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დასმულ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საკითხთაგან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განსაკუთრებით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მნიშვნელოვნად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გვეჩვენება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შემდეგი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საკითხები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: 1.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აქ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პირველად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წამოჭრილი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განღმრთობის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თეოზისის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იდეა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კეთილად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ებაძვა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შურსა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ჩუენიცა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გჳრგჳნოსანი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მრჩობილ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მარჯუენე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შეყუარებული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გჳრგჳნი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თავისაჲ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სასურველი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183),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შესხმაში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უფრო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ნათლადაა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წარმოჩენილი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ბუნებით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ღმერთი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მადლით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ღმერთქმნულთა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შორის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194, 18). 2.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ნინო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განმანათლებელთან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დაკავშირებული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დეტალები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3.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ქართველთა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სარწმუნოებრივი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სიწმიდის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თეზისი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გარნა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არათუ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უბიწოებასა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ქართველთა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სარწმუნოებისასა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ბიწი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</w:t>
      </w:r>
      <w:r>
        <w:rPr>
          <w:rFonts w:ascii="Arial" w:hAnsi="Arial" w:cs="Arial"/>
          <w:color w:val="191919"/>
          <w:sz w:val="21"/>
          <w:szCs w:val="21"/>
        </w:rPr>
        <w:t>Á</w:t>
      </w:r>
      <w:r>
        <w:rPr>
          <w:rFonts w:ascii="Sylfaen" w:hAnsi="Sylfaen" w:cs="Sylfaen"/>
          <w:color w:val="191919"/>
          <w:sz w:val="21"/>
          <w:szCs w:val="21"/>
        </w:rPr>
        <w:t>მე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შეჰხებოდა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იყოფინ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!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არა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გეცრუვნეთ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სიწმიდით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მშობელო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ჩუენო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კათოლიკე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ეკლესიაო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არცა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განგცეთ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სიქადულო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ჩუენო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მართლმადიდებლობაო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რომლისა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არცა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განმცემელქმნილ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ვართ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“). „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უჭირავს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მიერ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დადგენილ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რომელიც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კანონებად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დაყოფილი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ხელნაწერში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ამიტომ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გამოყოფა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რიცხვის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დადგენა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მკვლევართა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შორის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უთანხმოების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საგანია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ამ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პირველ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დ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ბაქრაძის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1863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მეორე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თ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ჟორდანიას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1882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გამოცემებში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კანონებად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დაყოფილი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ზოგიერთი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15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გამოყოფს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ზოგიერთი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16-</w:t>
      </w:r>
      <w:r>
        <w:rPr>
          <w:rFonts w:ascii="Sylfaen" w:hAnsi="Sylfaen" w:cs="Sylfaen"/>
          <w:color w:val="191919"/>
          <w:sz w:val="21"/>
          <w:szCs w:val="21"/>
        </w:rPr>
        <w:t>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17-</w:t>
      </w:r>
      <w:r>
        <w:rPr>
          <w:rFonts w:ascii="Sylfaen" w:hAnsi="Sylfaen" w:cs="Sylfaen"/>
          <w:color w:val="191919"/>
          <w:sz w:val="21"/>
          <w:szCs w:val="21"/>
        </w:rPr>
        <w:t>ს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უკანასკნელ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გამოცემაში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ტექსტის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შინაარსობრივი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დანაწილების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საფუძველზე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გამოყოფილია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19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დასახელებული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ნაშრომი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89-91).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კანონთა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შინაარსი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მრავალფეროვანია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მაგრამ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ორიგინალობით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გამოირჩევა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პირველი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რომელსაც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ფორმა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გვაქვს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ფაქტობრივად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საქართველოს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ეკლესიაში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ჩატარებული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მნიშვნელოვანი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საკადრო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ცვლილების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რეზიუმეს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მსგავსი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მოკლე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თხრობაა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: 1.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პირველად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ეპისკოპოსნი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ვინმე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ვერ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ღირსებით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შემოსრულნი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პატივსა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მღდელთმთავრობისასა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უღირსნი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…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განვკუეთენით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…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ნაცვალად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მათდა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სხუანი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დავადგინენით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94).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ჩანს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დასკვნითი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სასჯელის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ნაწილი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დანარჩენ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კანონებში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მოცემულია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შესრულებისათვის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აუცილებელი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დებულებები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დარღვევისათვის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შესაბამისი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სასჯელის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ზომები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ასეთი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lastRenderedPageBreak/>
        <w:t>თანმიმდევრობით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: 2.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სასულიერო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იერარქიის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ყოველ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საფეხურზე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ხელდასხმისათვის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საჭირო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ასაკი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3.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პირისათვის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თითოეულ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თანამდებობაზე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დანიშვნებს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შორის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აუცილებელი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განსაზღვრული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4.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ხელდასმის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წესის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აუცილებელია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გიორგი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მთაწმიდელის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დიდი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კურთხევანის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მიხედვით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5.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ხელდასხმისათვის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ქრთამისა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საფასის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სიმონიის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დაგმობა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6.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სამღდელო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ჭურჭელთა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ხელშეუხებლობა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7.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ეკლესიის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საკურთხევლის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გარეთ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ნათლისცემის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ქორწინებისა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მონაზონის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სქემის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კურთხევათა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8.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გვირგვინთა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კურთხევის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დღესვე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აუცილებლად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ზიარების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საიდუმლოს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9.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მეორე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მეორეთა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გჳრგჳნთა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მაკურთხეველ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ხუცესს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ეკრძალება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ქორწილის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სუფრაზე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სამხრად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მისვლა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10.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ქალის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საქორწინო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ასაკის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(12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განსაზღვრა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მანმადე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იგი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მცირეასაკოვანია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დაწინდვის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რიტუალის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შესრულება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მშობლებს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სურთ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11.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ხორებისკოპოსის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კანდიდატის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მღვდელთა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დიაკონთაგან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გამორჩევა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კათალიკოსისა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ეპისკოპოსების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უფლებამოსილებაა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12.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მონასტრებში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მოძღვართა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რიცხვის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განსაზღვრა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. 13. „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კრებულთა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დასხდომისა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“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სუფრის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გაშლის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სავაჭრო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ფარდულების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ეკლესია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მონასტრების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ეზოებში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აკრძალვების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შესახებ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14.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ერთდროულად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სულთა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რამდენიმე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შესაწირავის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>, 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წინადაგების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ერთ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საკურთხეველში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რამდენიმე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მღვდლის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შესრულებით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15.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სომეხ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მონოფიზიტთა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ხაჩეცართაჲ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მართმადიდებლურად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მონათვლის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რიტუალის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თქმა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უნდა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ვისაც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სურვილი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ჰქონდა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), 16.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ქრისტიანის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სხვა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რელიგიის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წევრთან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მწვალებელთან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თუ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ისინი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მართლმადიდებელნი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არ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გახდებიან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), 17.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წარმომადგენლობითი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კიდეს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კიდე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როცა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ჯვარისწერაზე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საქმროს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ან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საპატარძლოს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მაგივრად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მისი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წარმომადგენელია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. 18.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სოდომური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ცოდვის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მამათმავლობის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დასჯის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უკიდურესი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ზომის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დადგენა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(„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ცოცხლივ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ჯოჯოხეთად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შთამხდელი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რისხვაჲ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“), 19. </w:t>
      </w:r>
      <w:proofErr w:type="spellStart"/>
      <w:proofErr w:type="gramStart"/>
      <w:r>
        <w:rPr>
          <w:rFonts w:ascii="Sylfaen" w:hAnsi="Sylfaen" w:cs="Sylfaen"/>
          <w:color w:val="191919"/>
          <w:sz w:val="21"/>
          <w:szCs w:val="21"/>
        </w:rPr>
        <w:t>ხატთმებრძოლეობის</w:t>
      </w:r>
      <w:proofErr w:type="spellEnd"/>
      <w:proofErr w:type="gram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წვალების</w:t>
      </w:r>
      <w:proofErr w:type="spellEnd"/>
      <w:r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91919"/>
          <w:sz w:val="21"/>
          <w:szCs w:val="21"/>
        </w:rPr>
        <w:t>დაგმობა</w:t>
      </w:r>
      <w:proofErr w:type="spellEnd"/>
      <w:r>
        <w:rPr>
          <w:rFonts w:ascii="Arial" w:hAnsi="Arial" w:cs="Arial"/>
          <w:color w:val="191919"/>
          <w:sz w:val="21"/>
          <w:szCs w:val="21"/>
        </w:rPr>
        <w:t>.</w:t>
      </w:r>
    </w:p>
    <w:p w:rsidR="0000735C" w:rsidRDefault="0000735C">
      <w:bookmarkStart w:id="0" w:name="_GoBack"/>
      <w:bookmarkEnd w:id="0"/>
    </w:p>
    <w:sectPr w:rsidR="0000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C2"/>
    <w:rsid w:val="0000735C"/>
    <w:rsid w:val="003840D1"/>
    <w:rsid w:val="00B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D1"/>
  </w:style>
  <w:style w:type="paragraph" w:styleId="Heading1">
    <w:name w:val="heading 1"/>
    <w:basedOn w:val="Normal"/>
    <w:link w:val="Heading1Char"/>
    <w:uiPriority w:val="9"/>
    <w:qFormat/>
    <w:rsid w:val="0038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4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4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D1"/>
  </w:style>
  <w:style w:type="paragraph" w:styleId="Heading1">
    <w:name w:val="heading 1"/>
    <w:basedOn w:val="Normal"/>
    <w:link w:val="Heading1Char"/>
    <w:uiPriority w:val="9"/>
    <w:qFormat/>
    <w:rsid w:val="0038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840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0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40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1072</Words>
  <Characters>6117</Characters>
  <Application>Microsoft Office Word</Application>
  <DocSecurity>0</DocSecurity>
  <Lines>50</Lines>
  <Paragraphs>14</Paragraphs>
  <ScaleCrop>false</ScaleCrop>
  <Company>diakov.net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2017-11-11T08:42:00Z</dcterms:created>
  <dcterms:modified xsi:type="dcterms:W3CDTF">2017-11-11T08:47:00Z</dcterms:modified>
</cp:coreProperties>
</file>