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0227E" w14:textId="6FCA59EB" w:rsidR="00272410" w:rsidRPr="00F35A0F" w:rsidRDefault="00F35A0F" w:rsidP="00F35A0F">
      <w:pPr>
        <w:pStyle w:val="ListParagraph"/>
        <w:numPr>
          <w:ilvl w:val="0"/>
          <w:numId w:val="1"/>
        </w:numPr>
        <w:rPr>
          <w:iCs/>
          <w:szCs w:val="20"/>
        </w:rPr>
      </w:pPr>
      <w:r w:rsidRPr="00F35A0F">
        <w:rPr>
          <w:b/>
        </w:rPr>
        <w:t xml:space="preserve">Aleida </w:t>
      </w:r>
      <w:proofErr w:type="spellStart"/>
      <w:r w:rsidRPr="00F35A0F">
        <w:rPr>
          <w:b/>
        </w:rPr>
        <w:t>Assmann</w:t>
      </w:r>
      <w:proofErr w:type="spellEnd"/>
      <w:r w:rsidRPr="00F35A0F">
        <w:rPr>
          <w:b/>
        </w:rPr>
        <w:t xml:space="preserve">. Canon and Archive. </w:t>
      </w:r>
      <w:r w:rsidRPr="00F35A0F">
        <w:rPr>
          <w:i/>
          <w:szCs w:val="20"/>
        </w:rPr>
        <w:t xml:space="preserve">A Companion to Cultural Memory Studies. Astrid </w:t>
      </w:r>
      <w:proofErr w:type="spellStart"/>
      <w:r w:rsidRPr="00F35A0F">
        <w:rPr>
          <w:i/>
          <w:szCs w:val="20"/>
        </w:rPr>
        <w:t>Erll</w:t>
      </w:r>
      <w:proofErr w:type="spellEnd"/>
      <w:r w:rsidRPr="00F35A0F">
        <w:rPr>
          <w:i/>
          <w:szCs w:val="20"/>
        </w:rPr>
        <w:t xml:space="preserve">, Ansgar </w:t>
      </w:r>
      <w:proofErr w:type="spellStart"/>
      <w:r w:rsidRPr="00F35A0F">
        <w:rPr>
          <w:i/>
          <w:szCs w:val="20"/>
        </w:rPr>
        <w:t>Nunning</w:t>
      </w:r>
      <w:proofErr w:type="spellEnd"/>
      <w:r w:rsidRPr="00F35A0F">
        <w:rPr>
          <w:i/>
          <w:szCs w:val="20"/>
        </w:rPr>
        <w:t xml:space="preserve"> (Eds.). </w:t>
      </w:r>
      <w:r w:rsidRPr="00F35A0F">
        <w:rPr>
          <w:iCs/>
          <w:szCs w:val="20"/>
        </w:rPr>
        <w:t>De Gruyter, 2010, p. 97-107</w:t>
      </w:r>
      <w:r w:rsidRPr="00F35A0F">
        <w:rPr>
          <w:iCs/>
          <w:szCs w:val="20"/>
        </w:rPr>
        <w:t>.</w:t>
      </w:r>
    </w:p>
    <w:p w14:paraId="40E87A71" w14:textId="4E74AB6E" w:rsidR="00F35A0F" w:rsidRPr="00F35A0F" w:rsidRDefault="00F35A0F" w:rsidP="00F35A0F">
      <w:pPr>
        <w:pStyle w:val="ListParagraph"/>
        <w:numPr>
          <w:ilvl w:val="0"/>
          <w:numId w:val="1"/>
        </w:numPr>
        <w:rPr>
          <w:bCs/>
          <w:szCs w:val="20"/>
        </w:rPr>
      </w:pPr>
      <w:bookmarkStart w:id="0" w:name="_Hlk20918018"/>
      <w:r w:rsidRPr="00F35A0F">
        <w:rPr>
          <w:b/>
        </w:rPr>
        <w:t xml:space="preserve">Jan </w:t>
      </w:r>
      <w:proofErr w:type="spellStart"/>
      <w:r w:rsidRPr="00F35A0F">
        <w:rPr>
          <w:b/>
          <w:bCs/>
        </w:rPr>
        <w:t>Assman</w:t>
      </w:r>
      <w:proofErr w:type="spellEnd"/>
      <w:r w:rsidRPr="00F35A0F">
        <w:rPr>
          <w:b/>
        </w:rPr>
        <w:t>. Communicative and Cultural Memory</w:t>
      </w:r>
      <w:r>
        <w:t xml:space="preserve">. </w:t>
      </w:r>
      <w:r w:rsidRPr="00F35A0F">
        <w:rPr>
          <w:i/>
          <w:szCs w:val="20"/>
        </w:rPr>
        <w:t xml:space="preserve">A Companion to Cultural Memory Studies. Astrid </w:t>
      </w:r>
      <w:proofErr w:type="spellStart"/>
      <w:r w:rsidRPr="00F35A0F">
        <w:rPr>
          <w:i/>
          <w:szCs w:val="20"/>
        </w:rPr>
        <w:t>Erll</w:t>
      </w:r>
      <w:proofErr w:type="spellEnd"/>
      <w:r w:rsidRPr="00F35A0F">
        <w:rPr>
          <w:i/>
          <w:szCs w:val="20"/>
        </w:rPr>
        <w:t xml:space="preserve">, Ansgar </w:t>
      </w:r>
      <w:proofErr w:type="spellStart"/>
      <w:r w:rsidRPr="00F35A0F">
        <w:rPr>
          <w:i/>
          <w:szCs w:val="20"/>
        </w:rPr>
        <w:t>Nunning</w:t>
      </w:r>
      <w:proofErr w:type="spellEnd"/>
      <w:r w:rsidRPr="00F35A0F">
        <w:rPr>
          <w:i/>
          <w:szCs w:val="20"/>
        </w:rPr>
        <w:t xml:space="preserve"> (Eds.).</w:t>
      </w:r>
      <w:r w:rsidRPr="00F35A0F">
        <w:rPr>
          <w:szCs w:val="20"/>
        </w:rPr>
        <w:t xml:space="preserve"> De Gruyter, 2010,</w:t>
      </w:r>
      <w:r w:rsidRPr="00F35A0F">
        <w:rPr>
          <w:b/>
          <w:szCs w:val="20"/>
        </w:rPr>
        <w:t xml:space="preserve"> </w:t>
      </w:r>
      <w:r w:rsidRPr="00F35A0F">
        <w:rPr>
          <w:bCs/>
          <w:szCs w:val="20"/>
        </w:rPr>
        <w:t xml:space="preserve">p. </w:t>
      </w:r>
      <w:bookmarkEnd w:id="0"/>
      <w:r w:rsidRPr="00F35A0F">
        <w:rPr>
          <w:bCs/>
          <w:szCs w:val="20"/>
        </w:rPr>
        <w:t>109-118</w:t>
      </w:r>
      <w:r w:rsidRPr="00F35A0F">
        <w:rPr>
          <w:bCs/>
          <w:szCs w:val="20"/>
        </w:rPr>
        <w:t>.</w:t>
      </w:r>
    </w:p>
    <w:p w14:paraId="04F84A9A" w14:textId="77777777" w:rsidR="00F35A0F" w:rsidRPr="00F35A0F" w:rsidRDefault="00F35A0F" w:rsidP="00F35A0F">
      <w:pPr>
        <w:pStyle w:val="ListParagraph"/>
        <w:numPr>
          <w:ilvl w:val="0"/>
          <w:numId w:val="1"/>
        </w:numPr>
        <w:spacing w:after="0"/>
        <w:rPr>
          <w:rFonts w:cstheme="minorHAnsi"/>
          <w:iCs/>
        </w:rPr>
      </w:pPr>
      <w:bookmarkStart w:id="1" w:name="_Hlk20957171"/>
      <w:r w:rsidRPr="00F35A0F">
        <w:rPr>
          <w:rFonts w:cstheme="minorHAnsi"/>
          <w:b/>
        </w:rPr>
        <w:t xml:space="preserve">Paul </w:t>
      </w:r>
      <w:proofErr w:type="spellStart"/>
      <w:r w:rsidRPr="00F35A0F">
        <w:rPr>
          <w:rFonts w:cstheme="minorHAnsi"/>
          <w:b/>
        </w:rPr>
        <w:t>Connerton</w:t>
      </w:r>
      <w:proofErr w:type="spellEnd"/>
      <w:r w:rsidRPr="00F35A0F">
        <w:rPr>
          <w:rFonts w:cstheme="minorHAnsi"/>
        </w:rPr>
        <w:t xml:space="preserve">. </w:t>
      </w:r>
      <w:r w:rsidRPr="00F35A0F">
        <w:rPr>
          <w:rFonts w:cstheme="minorHAnsi"/>
          <w:b/>
          <w:iCs/>
        </w:rPr>
        <w:t>Seven types of forgetting.</w:t>
      </w:r>
      <w:r w:rsidRPr="00F35A0F">
        <w:rPr>
          <w:rFonts w:cstheme="minorHAnsi"/>
          <w:iCs/>
        </w:rPr>
        <w:t xml:space="preserve"> Memory Studies 2008, 1: 59</w:t>
      </w:r>
      <w:r w:rsidRPr="00F35A0F">
        <w:rPr>
          <w:rFonts w:cstheme="minorHAnsi"/>
          <w:iCs/>
          <w:lang w:val="ka-GE"/>
        </w:rPr>
        <w:t xml:space="preserve">, </w:t>
      </w:r>
      <w:bookmarkEnd w:id="1"/>
      <w:r w:rsidRPr="00F35A0F">
        <w:rPr>
          <w:rFonts w:cstheme="minorHAnsi"/>
          <w:iCs/>
          <w:lang w:val="ka-GE"/>
        </w:rPr>
        <w:t>გვ. 59-71.</w:t>
      </w:r>
      <w:r w:rsidRPr="00F35A0F">
        <w:rPr>
          <w:rFonts w:cstheme="minorHAnsi"/>
          <w:iCs/>
        </w:rPr>
        <w:t xml:space="preserve"> </w:t>
      </w:r>
    </w:p>
    <w:p w14:paraId="7E2E3A04" w14:textId="3424082A" w:rsidR="00F35A0F" w:rsidRPr="00F35A0F" w:rsidRDefault="00F35A0F" w:rsidP="00F35A0F">
      <w:pPr>
        <w:pStyle w:val="ListParagraph"/>
        <w:rPr>
          <w:bCs/>
          <w:szCs w:val="20"/>
        </w:rPr>
      </w:pPr>
      <w:r w:rsidRPr="00F35A0F">
        <w:rPr>
          <w:rFonts w:cstheme="minorHAnsi"/>
          <w:iCs/>
        </w:rPr>
        <w:t xml:space="preserve">Published by SAGE. </w:t>
      </w:r>
      <w:r w:rsidRPr="00F35A0F">
        <w:rPr>
          <w:rFonts w:cstheme="minorHAnsi"/>
        </w:rPr>
        <w:t>The online version of this article can be found at:</w:t>
      </w:r>
      <w:r w:rsidRPr="00F35A0F">
        <w:rPr>
          <w:rFonts w:cstheme="minorHAnsi"/>
          <w:color w:val="0000FF"/>
        </w:rPr>
        <w:t xml:space="preserve"> </w:t>
      </w:r>
      <w:hyperlink r:id="rId5" w:history="1">
        <w:r w:rsidRPr="00F35A0F">
          <w:rPr>
            <w:rStyle w:val="Hyperlink"/>
            <w:rFonts w:cstheme="minorHAnsi"/>
          </w:rPr>
          <w:t>http://mss.sagepub.com/cgi/content/abstract/1/1/59</w:t>
        </w:r>
      </w:hyperlink>
    </w:p>
    <w:sectPr w:rsidR="00F35A0F" w:rsidRPr="00F35A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8F6527"/>
    <w:multiLevelType w:val="hybridMultilevel"/>
    <w:tmpl w:val="BD261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16"/>
    <w:rsid w:val="00272410"/>
    <w:rsid w:val="00980116"/>
    <w:rsid w:val="00F3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97E77D"/>
  <w15:chartTrackingRefBased/>
  <w15:docId w15:val="{CDD93927-FE7A-4590-96C4-7653BABC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A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5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ss.sagepub.com/cgi/content/abstract/1/1/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2</cp:revision>
  <dcterms:created xsi:type="dcterms:W3CDTF">2021-03-09T18:58:00Z</dcterms:created>
  <dcterms:modified xsi:type="dcterms:W3CDTF">2021-03-09T19:01:00Z</dcterms:modified>
</cp:coreProperties>
</file>